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sz w:val="48"/>
          <w:szCs w:val="48"/>
          <w:lang w:val="en-US"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</w:t>
      </w:r>
      <w:r>
        <w:rPr>
          <w:rFonts w:hint="eastAsia" w:ascii="宋体" w:hAnsi="宋体" w:cs="宋体"/>
          <w:b/>
          <w:bCs/>
          <w:color w:val="000000"/>
          <w:sz w:val="48"/>
          <w:szCs w:val="48"/>
          <w:lang w:val="en-US" w:eastAsia="zh-CN"/>
        </w:rPr>
        <w:t>亮化及绿化项目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kern w:val="44"/>
          <w:sz w:val="48"/>
          <w:szCs w:val="48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JSGCJC-CICDI-013</w:t>
      </w:r>
    </w:p>
    <w:p>
      <w:pPr>
        <w:pStyle w:val="2"/>
        <w:spacing w:line="48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亮化及绿化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安徽益祥建设集团有限公司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124832.39元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供应商地址：合肥市蜀山区望江西路198号信旺华府骏苑14幢2726-2728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合肥市建设工程监测中心有限责任公司亮化及绿化项目。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工程范围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合肥市建设工程监测中心有限责任公司，合肥市包河区经济开发区大连路7号。公司现将对办公楼外立面安装发光字亮化项施工；办公楼南侧及空中花园绿化改造项施工；局部电路改造及给排水增加项施工等；详细施工内容见工程量清单和招标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工期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工程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101"/>
      <w:bookmarkStart w:id="7" w:name="_Toc35393811"/>
      <w:bookmarkStart w:id="8" w:name="_Toc35393642"/>
      <w:bookmarkStart w:id="9" w:name="_Toc28359024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F236C7E"/>
    <w:rsid w:val="344F1803"/>
    <w:rsid w:val="3F236A9D"/>
    <w:rsid w:val="50014330"/>
    <w:rsid w:val="53B91D41"/>
    <w:rsid w:val="5F67690A"/>
    <w:rsid w:val="65205A8B"/>
    <w:rsid w:val="66A83C2F"/>
    <w:rsid w:val="6B933C45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2020-12-07T02:55:28Z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