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华文中宋" w:hAnsi="华文中宋" w:eastAsia="华文中宋"/>
          <w:lang w:val="en-US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合肥市建设工程监测中心党员活动室等改造项目中标结果</w:t>
      </w:r>
      <w:bookmarkEnd w:id="0"/>
      <w:bookmarkEnd w:id="1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公示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JSGCJC-CICDI-029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合肥市建设工程监测中心党员活动室等改造项目</w:t>
      </w:r>
    </w:p>
    <w:p>
      <w:pPr>
        <w:numPr>
          <w:ilvl w:val="0"/>
          <w:numId w:val="0"/>
        </w:numPr>
        <w:ind w:left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合肥蓝美智展传媒有限公司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中标（成交）金额：26935.00元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供应商地址：合肥市包河区望江东路星隆购物广场1栋2508</w:t>
      </w:r>
    </w:p>
    <w:p>
      <w:pPr>
        <w:pStyle w:val="2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6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名称：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合肥市建设工程监测中心党员活动室等改造项目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范围：合肥市建设工程监测中心有限责任公司为公司党员活动室等改造</w:t>
            </w:r>
            <w:bookmarkStart w:id="14" w:name="_GoBack"/>
            <w:bookmarkEnd w:id="14"/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。具体内容详见招标文件。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工程要求：根据招标文件规定</w:t>
            </w:r>
          </w:p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工程时间：签订合同之日起20日历天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工程标准：根据招标文件规定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3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023"/>
      <w:bookmarkStart w:id="5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28359101"/>
      <w:bookmarkStart w:id="7" w:name="_Toc35393642"/>
      <w:bookmarkStart w:id="8" w:name="_Toc35393811"/>
      <w:bookmarkStart w:id="9" w:name="_Toc28359024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35393812"/>
      <w:bookmarkStart w:id="12" w:name="_Toc35393643"/>
      <w:bookmarkStart w:id="13" w:name="_Toc2835910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p>
      <w:pPr>
        <w:pStyle w:val="2"/>
        <w:ind w:firstLine="840" w:firstLineChars="3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  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"mailto:xusiyu_xm.cicdi@chinaccs.cn"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 w:cs="仿宋"/>
          <w:sz w:val="28"/>
          <w:szCs w:val="28"/>
        </w:rPr>
        <w:t>xusiyu_xm.cicdi@chinaccs.cn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招 标 师：孔伟、叶佳嘉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73F05"/>
    <w:rsid w:val="69A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2021-08-06T02:40:00Z</dcterms:created>
  <dc:creator>崔智鑫</dc:creator>
  <cp:lastModifiedBy>执鑫</cp:lastModifiedBy>
  <dcterms:modified xsi:type="dcterms:W3CDTF">2021-08-06T02:41:41Z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84F673EA7BE748F3ABD2F993ECCF2F9E</vt:lpwstr>
  </property>
</Properties>
</file>