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b/>
          <w:sz w:val="44"/>
          <w:szCs w:val="44"/>
        </w:rPr>
      </w:pPr>
      <w:r>
        <w:rPr>
          <w:rFonts w:hint="eastAsia"/>
          <w:b/>
          <w:sz w:val="44"/>
          <w:szCs w:val="44"/>
        </w:rPr>
        <w:t>合肥市建设工程监测中心有限责任公司</w:t>
      </w:r>
    </w:p>
    <w:p>
      <w:pPr>
        <w:spacing w:line="388" w:lineRule="exact"/>
        <w:jc w:val="center"/>
        <w:rPr>
          <w:b/>
          <w:sz w:val="32"/>
          <w:szCs w:val="32"/>
        </w:rPr>
      </w:pPr>
      <w:r>
        <w:rPr>
          <w:rFonts w:hint="eastAsia"/>
          <w:b/>
          <w:sz w:val="32"/>
          <w:szCs w:val="32"/>
        </w:rPr>
        <w:t>关于处置</w:t>
      </w:r>
      <w:r>
        <w:rPr>
          <w:rFonts w:hint="eastAsia"/>
          <w:b/>
          <w:sz w:val="32"/>
          <w:szCs w:val="32"/>
          <w:lang w:val="en-US" w:eastAsia="zh-CN"/>
        </w:rPr>
        <w:t>报废</w:t>
      </w:r>
      <w:r>
        <w:rPr>
          <w:rFonts w:hint="eastAsia"/>
          <w:b/>
          <w:sz w:val="32"/>
          <w:szCs w:val="32"/>
        </w:rPr>
        <w:t>固定资产的公告</w:t>
      </w:r>
    </w:p>
    <w:p>
      <w:pPr>
        <w:spacing w:line="240" w:lineRule="exact"/>
        <w:ind w:firstLine="1320" w:firstLineChars="300"/>
        <w:rPr>
          <w:sz w:val="44"/>
          <w:szCs w:val="44"/>
        </w:rPr>
      </w:pP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按照公开、公正、公平的原则，我公司将通过市场竞价方式公开招标处置经批准的一批报废固定资产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，现将有关事项公告如下:</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一、投标资格</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1.在国内合法注册，符合国家法律规定、具有独立法人资格的企、事业单位。</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2.投标人需具有物资回收资质且合法经营的物资回收经营单位。</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二、报名及查看现场</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1.投标人凭本人身份证、上述材料中所列的证明材料复印件（加盖鲜章）到合肥市建设工程监测中心有限责任公司综合办公室办理投标人资格审查手续，审查合格后方可参与。</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2.处理设备为报废检测设备，均存在零部件缺失或不同程度的故障等问题，可以进行现场查看了解（具体时间由我公司综合办统一通知）。</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三、评标</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1.公司组织财务、审计、纪检等相关部门，进行集体公开评标。</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2.按投标价高顺序，依次排列，价高者中标。</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四、注意事项及要求</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1.各投标单位根据现场了解情况，对报废固定资产进行报价（总价），并签字盖章后密封，并于20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24</w:t>
      </w:r>
      <w:r>
        <w:rPr>
          <w:rFonts w:hint="eastAsia" w:ascii="仿宋_GB2312" w:hAnsi="仿宋_GB2312" w:eastAsia="仿宋_GB2312" w:cs="仿宋_GB2312"/>
          <w:color w:val="333333"/>
          <w:sz w:val="32"/>
          <w:szCs w:val="32"/>
        </w:rPr>
        <w:t>日1</w:t>
      </w:r>
      <w:r>
        <w:rPr>
          <w:rFonts w:ascii="仿宋_GB2312" w:hAnsi="仿宋_GB2312" w:eastAsia="仿宋_GB2312" w:cs="仿宋_GB2312"/>
          <w:color w:val="333333"/>
          <w:sz w:val="32"/>
          <w:szCs w:val="32"/>
        </w:rPr>
        <w:t>5</w:t>
      </w:r>
      <w:r>
        <w:rPr>
          <w:rFonts w:hint="eastAsia" w:ascii="仿宋_GB2312" w:hAnsi="仿宋_GB2312" w:eastAsia="仿宋_GB2312" w:cs="仿宋_GB2312"/>
          <w:color w:val="333333"/>
          <w:sz w:val="32"/>
          <w:szCs w:val="32"/>
        </w:rPr>
        <w:t>：0</w:t>
      </w:r>
      <w:r>
        <w:rPr>
          <w:rFonts w:ascii="仿宋_GB2312" w:hAnsi="仿宋_GB2312" w:eastAsia="仿宋_GB2312" w:cs="仿宋_GB2312"/>
          <w:color w:val="333333"/>
          <w:sz w:val="32"/>
          <w:szCs w:val="32"/>
        </w:rPr>
        <w:t>0</w:t>
      </w:r>
      <w:r>
        <w:rPr>
          <w:rFonts w:hint="eastAsia" w:ascii="仿宋_GB2312" w:hAnsi="仿宋_GB2312" w:eastAsia="仿宋_GB2312" w:cs="仿宋_GB2312"/>
          <w:color w:val="333333"/>
          <w:sz w:val="32"/>
          <w:szCs w:val="32"/>
        </w:rPr>
        <w:t>前送至综合办。</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2.开标后，中标单位应在三天内交齐货款，并在规定的时间内拆除清理报废固定资产，拆除清理过程中中标单位需对自己的人身</w:t>
      </w:r>
      <w:bookmarkStart w:id="0" w:name="_GoBack"/>
      <w:bookmarkEnd w:id="0"/>
      <w:r>
        <w:rPr>
          <w:rFonts w:hint="eastAsia" w:ascii="仿宋_GB2312" w:hAnsi="仿宋_GB2312" w:eastAsia="仿宋_GB2312" w:cs="仿宋_GB2312"/>
          <w:color w:val="333333"/>
          <w:sz w:val="32"/>
          <w:szCs w:val="32"/>
        </w:rPr>
        <w:t>安全负责，如发生意外本公司将无需承担责任。</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3.中标后，中标单位需独立承担设备的拆除、搬迁及运输等相关费用。</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五、报名时间及联系方式</w:t>
      </w:r>
    </w:p>
    <w:p>
      <w:pPr>
        <w:pStyle w:val="4"/>
        <w:widowControl/>
        <w:spacing w:beforeAutospacing="0" w:afterAutospacing="0" w:line="592" w:lineRule="exact"/>
        <w:ind w:firstLine="640" w:firstLineChars="200"/>
        <w:jc w:val="both"/>
        <w:rPr>
          <w:rFonts w:hint="default" w:ascii="仿宋_GB2312" w:hAnsi="仿宋_GB2312" w:eastAsia="仿宋_GB2312" w:cs="仿宋_GB2312"/>
          <w:color w:val="333333"/>
          <w:sz w:val="32"/>
          <w:szCs w:val="32"/>
          <w:lang w:val="en-US"/>
        </w:rPr>
      </w:pPr>
      <w:r>
        <w:rPr>
          <w:rFonts w:hint="eastAsia" w:ascii="仿宋_GB2312" w:hAnsi="仿宋_GB2312" w:eastAsia="仿宋_GB2312" w:cs="仿宋_GB2312"/>
          <w:color w:val="333333"/>
          <w:sz w:val="32"/>
          <w:szCs w:val="32"/>
        </w:rPr>
        <w:t>1.报名时间：20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21</w:t>
      </w:r>
      <w:r>
        <w:rPr>
          <w:rFonts w:hint="eastAsia" w:ascii="仿宋_GB2312" w:hAnsi="仿宋_GB2312" w:eastAsia="仿宋_GB2312" w:cs="仿宋_GB2312"/>
          <w:color w:val="333333"/>
          <w:sz w:val="32"/>
          <w:szCs w:val="32"/>
        </w:rPr>
        <w:t>----20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2.6.24</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2.报名地点：合肥市建设工程监测中心有限责任公司（包河经济开发区，大连路7号）</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3.联系人：综合办陈曦   0551-63367270</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p>
    <w:p>
      <w:pPr>
        <w:pStyle w:val="4"/>
        <w:widowControl/>
        <w:spacing w:beforeAutospacing="0" w:afterAutospacing="0" w:line="592" w:lineRule="exact"/>
        <w:ind w:firstLine="2560" w:firstLineChars="8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合肥市建设工程监测中心有限责任公司</w:t>
      </w:r>
    </w:p>
    <w:p>
      <w:pPr>
        <w:pStyle w:val="4"/>
        <w:widowControl/>
        <w:spacing w:beforeAutospacing="0" w:afterAutospacing="0" w:line="592" w:lineRule="exact"/>
        <w:ind w:firstLine="4160" w:firstLineChars="13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20</w:t>
      </w:r>
      <w:r>
        <w:rPr>
          <w:rFonts w:hint="eastAsia" w:ascii="仿宋_GB2312" w:hAnsi="仿宋_GB2312" w:eastAsia="仿宋_GB2312" w:cs="仿宋_GB2312"/>
          <w:color w:val="333333"/>
          <w:sz w:val="32"/>
          <w:szCs w:val="32"/>
        </w:rPr>
        <w:t>日</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widowControl/>
        <w:ind w:firstLine="3534" w:firstLineChars="800"/>
        <w:jc w:val="both"/>
        <w:rPr>
          <w:rFonts w:hint="eastAsia" w:ascii="Arial Unicode MS" w:hAnsi="Arial Unicode MS" w:cs="Arial Unicode MS"/>
          <w:b/>
          <w:bCs/>
          <w:sz w:val="44"/>
          <w:szCs w:val="44"/>
          <w:lang w:val="en-US" w:eastAsia="zh-CN"/>
        </w:rPr>
      </w:pPr>
      <w:r>
        <w:rPr>
          <w:rFonts w:hint="eastAsia" w:ascii="Arial Unicode MS" w:hAnsi="Arial Unicode MS" w:cs="Arial Unicode MS"/>
          <w:b/>
          <w:bCs/>
          <w:sz w:val="44"/>
          <w:szCs w:val="44"/>
          <w:lang w:val="en-US" w:eastAsia="zh-CN"/>
        </w:rPr>
        <w:t>报价表</w:t>
      </w:r>
    </w:p>
    <w:p>
      <w:pPr>
        <w:keepNext w:val="0"/>
        <w:keepLines w:val="0"/>
        <w:pageBreakBefore w:val="0"/>
        <w:widowControl/>
        <w:kinsoku/>
        <w:wordWrap/>
        <w:overflowPunct/>
        <w:topLinePunct w:val="0"/>
        <w:autoSpaceDE/>
        <w:autoSpaceDN/>
        <w:bidi w:val="0"/>
        <w:adjustRightInd/>
        <w:snapToGrid/>
        <w:spacing w:line="380" w:lineRule="exact"/>
        <w:ind w:firstLine="3092" w:firstLineChars="700"/>
        <w:jc w:val="both"/>
        <w:textAlignment w:val="auto"/>
        <w:rPr>
          <w:rFonts w:hint="eastAsia" w:ascii="Arial Unicode MS" w:hAnsi="Arial Unicode MS" w:cs="Arial Unicode MS"/>
          <w:b/>
          <w:bCs/>
          <w:sz w:val="44"/>
          <w:szCs w:val="44"/>
          <w:lang w:val="en-US" w:eastAsia="zh-CN"/>
        </w:rPr>
      </w:pPr>
    </w:p>
    <w:tbl>
      <w:tblPr>
        <w:tblStyle w:val="6"/>
        <w:tblW w:w="8925"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265" w:type="dxa"/>
          </w:tcPr>
          <w:p>
            <w:pPr>
              <w:widowControl/>
              <w:jc w:val="both"/>
              <w:rPr>
                <w:rFonts w:hint="default" w:ascii="Arial Unicode MS" w:hAnsi="Arial Unicode MS" w:cs="Arial Unicode MS"/>
                <w:b/>
                <w:bCs/>
                <w:sz w:val="44"/>
                <w:szCs w:val="44"/>
                <w:vertAlign w:val="baseline"/>
                <w:lang w:val="en-US" w:eastAsia="zh-CN"/>
              </w:rPr>
            </w:pPr>
            <w:r>
              <w:rPr>
                <w:rFonts w:hint="eastAsia" w:ascii="Arial Unicode MS" w:hAnsi="Arial Unicode MS" w:cs="Arial Unicode MS"/>
                <w:b/>
                <w:bCs/>
                <w:sz w:val="28"/>
                <w:szCs w:val="28"/>
                <w:vertAlign w:val="baseline"/>
                <w:lang w:val="en-US" w:eastAsia="zh-CN"/>
              </w:rPr>
              <w:t>投标人名称</w:t>
            </w:r>
          </w:p>
        </w:tc>
        <w:tc>
          <w:tcPr>
            <w:tcW w:w="6660" w:type="dxa"/>
          </w:tcPr>
          <w:p>
            <w:pPr>
              <w:widowControl/>
              <w:jc w:val="both"/>
              <w:rPr>
                <w:rFonts w:hint="default" w:ascii="Arial Unicode MS" w:hAnsi="Arial Unicode MS" w:cs="Arial Unicode MS"/>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投标范围</w:t>
            </w:r>
          </w:p>
        </w:tc>
        <w:tc>
          <w:tcPr>
            <w:tcW w:w="6660"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报废清单内193项固定资产（详见固定资产报废清单）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投标总价</w:t>
            </w:r>
          </w:p>
        </w:tc>
        <w:tc>
          <w:tcPr>
            <w:tcW w:w="6660" w:type="dxa"/>
          </w:tcPr>
          <w:p>
            <w:pPr>
              <w:widowControl/>
              <w:jc w:val="both"/>
              <w:rPr>
                <w:rFonts w:hint="eastAsia"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人民币小写：</w:t>
            </w:r>
          </w:p>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付款方式</w:t>
            </w:r>
          </w:p>
        </w:tc>
        <w:tc>
          <w:tcPr>
            <w:tcW w:w="6660"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现场确认后一次性付清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8925" w:type="dxa"/>
            <w:gridSpan w:val="2"/>
          </w:tcPr>
          <w:p>
            <w:pPr>
              <w:widowControl/>
              <w:jc w:val="both"/>
              <w:rPr>
                <w:rFonts w:hint="default" w:ascii="仿宋_GB2312" w:hAnsi="仿宋_GB2312" w:eastAsia="仿宋_GB2312" w:cs="仿宋_GB2312"/>
                <w:color w:val="333333"/>
                <w:sz w:val="32"/>
                <w:szCs w:val="32"/>
                <w:lang w:val="en-US" w:eastAsia="zh-CN"/>
              </w:rPr>
            </w:pPr>
            <w:r>
              <w:rPr>
                <w:rFonts w:hint="eastAsia" w:ascii="Arial Unicode MS" w:hAnsi="Arial Unicode MS" w:cs="Arial Unicode MS"/>
                <w:b/>
                <w:bCs/>
                <w:sz w:val="28"/>
                <w:szCs w:val="28"/>
                <w:vertAlign w:val="baseline"/>
                <w:lang w:val="en-US" w:eastAsia="zh-CN"/>
              </w:rPr>
              <w:t>其他说明</w:t>
            </w:r>
            <w:r>
              <w:rPr>
                <w:rFonts w:hint="eastAsia" w:ascii="Arial Unicode MS" w:hAnsi="Arial Unicode MS" w:cs="Arial Unicode MS"/>
                <w:b w:val="0"/>
                <w:bCs w:val="0"/>
                <w:sz w:val="28"/>
                <w:szCs w:val="28"/>
                <w:vertAlign w:val="baseline"/>
                <w:lang w:val="en-US" w:eastAsia="zh-CN"/>
              </w:rPr>
              <w:t>：</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单位名称（盖章）：</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法人或授权签字人：</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widowControl/>
        <w:ind w:firstLine="3092" w:firstLineChars="700"/>
        <w:jc w:val="both"/>
        <w:rPr>
          <w:rFonts w:hint="default" w:ascii="Arial Unicode MS" w:hAnsi="Arial Unicode MS" w:cs="Arial Unicode MS"/>
          <w:b/>
          <w:bCs/>
          <w:sz w:val="44"/>
          <w:szCs w:val="44"/>
          <w:lang w:val="en-US" w:eastAsia="zh-CN"/>
        </w:rPr>
      </w:pPr>
    </w:p>
    <w:p>
      <w:pPr>
        <w:widowControl/>
        <w:jc w:val="both"/>
        <w:rPr>
          <w:rFonts w:hint="eastAsia" w:ascii="Arial Unicode MS" w:hAnsi="Arial Unicode MS" w:cs="Arial Unicode MS"/>
          <w:b/>
          <w:bCs/>
          <w:sz w:val="44"/>
          <w:szCs w:val="44"/>
        </w:rPr>
      </w:pPr>
    </w:p>
    <w:p>
      <w:pPr>
        <w:widowControl/>
        <w:jc w:val="both"/>
        <w:rPr>
          <w:rFonts w:hint="eastAsia" w:ascii="Arial Unicode MS" w:hAnsi="Arial Unicode MS" w:cs="Arial Unicode MS"/>
          <w:b/>
          <w:bCs/>
          <w:sz w:val="44"/>
          <w:szCs w:val="44"/>
          <w:lang w:val="en-US" w:eastAsia="zh-CN"/>
        </w:rPr>
      </w:pPr>
      <w:r>
        <w:rPr>
          <w:rFonts w:hint="eastAsia" w:ascii="Arial Unicode MS" w:hAnsi="Arial Unicode MS" w:cs="Arial Unicode MS"/>
          <w:b/>
          <w:bCs/>
          <w:sz w:val="44"/>
          <w:szCs w:val="44"/>
          <w:lang w:val="en-US" w:eastAsia="zh-CN"/>
        </w:rPr>
        <w:t>附件：</w:t>
      </w:r>
    </w:p>
    <w:p>
      <w:pPr>
        <w:widowControl/>
        <w:ind w:firstLine="2209" w:firstLineChars="500"/>
        <w:jc w:val="both"/>
        <w:rPr>
          <w:rFonts w:hint="eastAsia" w:ascii="Arial Unicode MS" w:hAnsi="Arial Unicode MS" w:cs="Arial Unicode MS" w:eastAsiaTheme="minorEastAsia"/>
          <w:b/>
          <w:bCs/>
          <w:sz w:val="44"/>
          <w:szCs w:val="44"/>
          <w:lang w:eastAsia="zh-CN"/>
        </w:rPr>
      </w:pPr>
      <w:r>
        <w:rPr>
          <w:rFonts w:hint="eastAsia" w:ascii="Arial Unicode MS" w:hAnsi="Arial Unicode MS" w:cs="Arial Unicode MS"/>
          <w:b/>
          <w:bCs/>
          <w:sz w:val="44"/>
          <w:szCs w:val="44"/>
        </w:rPr>
        <w:t>固定资产报废</w:t>
      </w:r>
      <w:r>
        <w:rPr>
          <w:rFonts w:hint="eastAsia" w:ascii="Arial Unicode MS" w:hAnsi="Arial Unicode MS" w:cs="Arial Unicode MS"/>
          <w:b/>
          <w:bCs/>
          <w:sz w:val="44"/>
          <w:szCs w:val="44"/>
          <w:lang w:val="en-US" w:eastAsia="zh-CN"/>
        </w:rPr>
        <w:t>清单</w:t>
      </w:r>
    </w:p>
    <w:p>
      <w:pPr>
        <w:widowControl/>
        <w:jc w:val="left"/>
        <w:rPr>
          <w:rFonts w:ascii="Arial Unicode MS" w:hAnsi="Arial Unicode MS" w:cs="Arial Unicode MS"/>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10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26"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序号</w:t>
            </w:r>
          </w:p>
        </w:tc>
        <w:tc>
          <w:tcPr>
            <w:tcW w:w="5103"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物品名称</w:t>
            </w:r>
          </w:p>
        </w:tc>
        <w:tc>
          <w:tcPr>
            <w:tcW w:w="2410"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1</w:t>
            </w:r>
          </w:p>
        </w:tc>
        <w:tc>
          <w:tcPr>
            <w:tcW w:w="5103" w:type="dxa"/>
            <w:vAlign w:val="bottom"/>
          </w:tcPr>
          <w:p>
            <w:pPr>
              <w:keepNext w:val="0"/>
              <w:keepLines w:val="0"/>
              <w:widowControl/>
              <w:suppressLineNumbers w:val="0"/>
              <w:jc w:val="left"/>
              <w:textAlignment w:val="bottom"/>
              <w:rPr>
                <w:rFonts w:cs="Arial Unicode MS" w:asciiTheme="minorEastAsia" w:hAnsiTheme="minorEastAsia"/>
                <w:sz w:val="28"/>
                <w:szCs w:val="28"/>
              </w:rPr>
            </w:pPr>
            <w:r>
              <w:rPr>
                <w:rFonts w:hint="default" w:ascii="Arial" w:hAnsi="Arial" w:eastAsia="MS Sans Serif" w:cs="Arial"/>
                <w:i w:val="0"/>
                <w:iCs w:val="0"/>
                <w:color w:val="000000"/>
                <w:kern w:val="0"/>
                <w:sz w:val="20"/>
                <w:szCs w:val="20"/>
                <w:u w:val="none"/>
                <w:lang w:val="en-US" w:eastAsia="zh-CN" w:bidi="ar"/>
              </w:rPr>
              <w:t>试验机冷弯冲头</w:t>
            </w:r>
          </w:p>
        </w:tc>
        <w:tc>
          <w:tcPr>
            <w:tcW w:w="2410" w:type="dxa"/>
            <w:vAlign w:val="center"/>
          </w:tcPr>
          <w:p>
            <w:pPr>
              <w:widowControl/>
              <w:jc w:val="center"/>
              <w:rPr>
                <w:rFonts w:hint="eastAsia" w:ascii="Arial Unicode MS" w:hAnsi="Arial Unicode MS" w:eastAsia="宋体" w:cs="Arial Unicode MS"/>
                <w:sz w:val="20"/>
                <w:szCs w:val="20"/>
                <w:lang w:val="en-US" w:eastAsia="zh-CN"/>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2</w:t>
            </w:r>
          </w:p>
        </w:tc>
        <w:tc>
          <w:tcPr>
            <w:tcW w:w="5103" w:type="dxa"/>
            <w:vAlign w:val="bottom"/>
          </w:tcPr>
          <w:p>
            <w:pPr>
              <w:keepNext w:val="0"/>
              <w:keepLines w:val="0"/>
              <w:widowControl/>
              <w:suppressLineNumbers w:val="0"/>
              <w:jc w:val="left"/>
              <w:textAlignment w:val="bottom"/>
              <w:rPr>
                <w:rFonts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水份速测仪</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3</w:t>
            </w:r>
          </w:p>
        </w:tc>
        <w:tc>
          <w:tcPr>
            <w:tcW w:w="5103" w:type="dxa"/>
            <w:vAlign w:val="bottom"/>
          </w:tcPr>
          <w:p>
            <w:pPr>
              <w:keepNext w:val="0"/>
              <w:keepLines w:val="0"/>
              <w:widowControl/>
              <w:suppressLineNumbers w:val="0"/>
              <w:jc w:val="left"/>
              <w:textAlignment w:val="bottom"/>
              <w:rPr>
                <w:rFonts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电脑CS分析仪</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4</w:t>
            </w:r>
          </w:p>
        </w:tc>
        <w:tc>
          <w:tcPr>
            <w:tcW w:w="5103" w:type="dxa"/>
            <w:vAlign w:val="bottom"/>
          </w:tcPr>
          <w:p>
            <w:pPr>
              <w:keepNext w:val="0"/>
              <w:keepLines w:val="0"/>
              <w:widowControl/>
              <w:suppressLineNumbers w:val="0"/>
              <w:jc w:val="left"/>
              <w:textAlignment w:val="bottom"/>
              <w:rPr>
                <w:rFonts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自动引燃炉</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进样仪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养护室恒温恒湿设备</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白度仪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墙体原位检测仪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砼芯样切割机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贯入法砂浆强度检测仪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钢筋保护层位置测定仪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锚杆拉力计</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拉拔仪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超声仪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测试仪器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测试仪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顶击式振筛机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稳压器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金属超声探伤仪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砼取芯机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钢筋位置测定仪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多功能强度检测仪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氡检测仪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锚杆拉力计</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剪压仪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拉折抗压机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水泥凝聚搅拌机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29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门窗检测仪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混凝土抗渗仪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锚杆拉力计</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混凝土芯样补平器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剥离夹具</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哑铃裁刀</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微机显示液压万能试验机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大气采样器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eastAsia" w:ascii="宋体" w:hAnsi="宋体" w:eastAsia="宋体" w:cs="宋体"/>
                <w:i w:val="0"/>
                <w:iCs w:val="0"/>
                <w:color w:val="FF0000"/>
                <w:kern w:val="0"/>
                <w:sz w:val="20"/>
                <w:szCs w:val="20"/>
                <w:u w:val="none"/>
                <w:lang w:val="en-US" w:eastAsia="zh-CN" w:bidi="ar"/>
              </w:rPr>
              <w:t>全自动压力试验机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多功能强度检测仪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39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楼板厚度检测仪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保温拉拔仪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高精度粘结强度检测仪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接地电阻测试仪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抗滑仪系数检测仪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电动板手</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精密扭力扳手</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数字超声波探伤仪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马歇尔稳定度</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CBR</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49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沥青抽提仪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导线电缆安全参数测试仪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锚杆拉拔仪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微电流放大器组件</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Style w:val="11"/>
                <w:lang w:val="en-US" w:eastAsia="zh-CN" w:bidi="ar"/>
              </w:rPr>
              <w:t>建筑玻璃可见光透射比、遮阳系数检定系统</w:t>
            </w:r>
            <w:r>
              <w:rPr>
                <w:rStyle w:val="12"/>
                <w:rFonts w:eastAsia="宋体"/>
                <w:lang w:val="en-US" w:eastAsia="zh-CN" w:bidi="ar"/>
              </w:rPr>
              <w:t>SK-SL500</w:t>
            </w:r>
            <w:r>
              <w:rPr>
                <w:rStyle w:val="11"/>
                <w:lang w:val="en-US" w:eastAsia="zh-CN" w:bidi="ar"/>
              </w:rPr>
              <w:t>型</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中空玻璃露点仪SK-LD40A(半导体）</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温湿度记录仪RH11RD</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电子经纬仪ET-O2C</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温湿度记录仪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温湿度记录仪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多功能强度检测仪SHJ</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b/>
                <w:color w:val="2B2B2B"/>
                <w:sz w:val="20"/>
                <w:szCs w:val="20"/>
                <w:shd w:val="clear" w:color="auto" w:fill="FFFFFF"/>
              </w:rPr>
              <w:t>60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读数显微镜</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锚杆拉拔仪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高精度粘结强度检测仪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切片机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裂缝测宽仪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锚杆拉拔仪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涂层测厚仪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里氏硬度计</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混凝土钢筋检测仪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69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风速开关</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测厚仪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锚杆拉拔仪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新标准低温沥青伸度仪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砼回弹仪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砼回弹仪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砼回弹仪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砼回弹仪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砼回弹仪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显示器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79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广角镜头</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长焦镜头</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笔记本电脑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耐碱水箱</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冻融实验箱</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钢筋反复弯曲机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eastAsia" w:ascii="宋体" w:hAnsi="宋体" w:eastAsia="宋体" w:cs="宋体"/>
                <w:i w:val="0"/>
                <w:iCs w:val="0"/>
                <w:color w:val="000000"/>
                <w:kern w:val="0"/>
                <w:sz w:val="20"/>
                <w:szCs w:val="20"/>
                <w:u w:val="none"/>
                <w:lang w:val="en-US" w:eastAsia="zh-CN" w:bidi="ar"/>
              </w:rPr>
              <w:t>芯样切割机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标签打印机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砼回弹仪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89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税控电脑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文件柜</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壁柜</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抽屉柜</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标牌</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KFRD-1201BF</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铁门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网络交换机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开水器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99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书柜</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浪潮服务器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电动门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空调管</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配件</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109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浪潮服务器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照相机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外墙节能构造钻芯检测仪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数码复印机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钢化玻璃篮球板</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119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b/>
                <w:color w:val="2B2B2B"/>
                <w:sz w:val="20"/>
                <w:szCs w:val="20"/>
                <w:shd w:val="clear" w:color="auto" w:fill="FFFFFF"/>
              </w:rPr>
              <w:t>122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HP1005打印机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投影机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129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显示器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数码相机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电动自行车</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电脑主机箱</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电脑主机箱</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液晶</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液晶</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液晶</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139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组装电脑2台</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组装电脑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HP打印机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HP打印机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爱普生打印机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惠普打印机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电脑主机箱</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电脑主机箱</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电脑主机箱</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149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电脑主机箱</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电脑一套</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b/>
                <w:color w:val="2B2B2B"/>
                <w:sz w:val="20"/>
                <w:szCs w:val="20"/>
                <w:shd w:val="clear" w:color="auto" w:fill="FFFFFF"/>
              </w:rPr>
              <w:t>151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联想品牌电脑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联想品牌电脑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联想品牌电脑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联想品牌电脑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联想品牌电脑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组装电脑(含显示器）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159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DV</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凭证装订机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169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H3C交换机系列</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HP打印机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联想电脑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联想电脑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HP打印机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格力空调</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179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夹芯板</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电脑主机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新浪潮服务器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办公设备</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184</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笔记本电脑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185</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办公设备</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186</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187</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188</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笔记本电脑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189</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笔记本电脑</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190</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HP打印机</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191</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电脑配件</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192</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虹光扫描仪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193</w:t>
            </w:r>
          </w:p>
        </w:tc>
        <w:tc>
          <w:tcPr>
            <w:tcW w:w="5103" w:type="dxa"/>
            <w:vAlign w:val="bottom"/>
          </w:tcPr>
          <w:p>
            <w:pPr>
              <w:keepNext w:val="0"/>
              <w:keepLines w:val="0"/>
              <w:widowControl/>
              <w:suppressLineNumbers w:val="0"/>
              <w:jc w:val="left"/>
              <w:textAlignment w:val="bottom"/>
              <w:rPr>
                <w:rFonts w:hint="eastAsia" w:cs="Arial Unicode MS" w:asciiTheme="minorEastAsia" w:hAnsiTheme="minorEastAsia"/>
                <w:sz w:val="32"/>
                <w:szCs w:val="32"/>
              </w:rPr>
            </w:pPr>
            <w:r>
              <w:rPr>
                <w:rFonts w:hint="default" w:ascii="Arial" w:hAnsi="Arial" w:eastAsia="MS Sans Serif" w:cs="Arial"/>
                <w:i w:val="0"/>
                <w:iCs w:val="0"/>
                <w:color w:val="000000"/>
                <w:kern w:val="0"/>
                <w:sz w:val="20"/>
                <w:szCs w:val="20"/>
                <w:u w:val="none"/>
                <w:lang w:val="en-US" w:eastAsia="zh-CN" w:bidi="ar"/>
              </w:rPr>
              <w:t>电热水器</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bl>
    <w:p>
      <w:pPr>
        <w:rPr>
          <w:szCs w:val="2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MmEwMDExZjY0NDEwMTU4MGI0NGVkZTJkZTk3NmIifQ=="/>
  </w:docVars>
  <w:rsids>
    <w:rsidRoot w:val="00C74BA3"/>
    <w:rsid w:val="00001049"/>
    <w:rsid w:val="000B224E"/>
    <w:rsid w:val="00176D08"/>
    <w:rsid w:val="00717E58"/>
    <w:rsid w:val="008E08AD"/>
    <w:rsid w:val="00980B7F"/>
    <w:rsid w:val="00C74BA3"/>
    <w:rsid w:val="00CC011E"/>
    <w:rsid w:val="00FA5620"/>
    <w:rsid w:val="05FC77BC"/>
    <w:rsid w:val="111B1E47"/>
    <w:rsid w:val="33ED115F"/>
    <w:rsid w:val="37AF3A18"/>
    <w:rsid w:val="38294D9B"/>
    <w:rsid w:val="39E61E41"/>
    <w:rsid w:val="42042707"/>
    <w:rsid w:val="471727F3"/>
    <w:rsid w:val="4A304515"/>
    <w:rsid w:val="526C65AF"/>
    <w:rsid w:val="582E261C"/>
    <w:rsid w:val="652270B0"/>
    <w:rsid w:val="6C083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3"/>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 w:type="character" w:customStyle="1" w:styleId="11">
    <w:name w:val="font01"/>
    <w:basedOn w:val="7"/>
    <w:qFormat/>
    <w:uiPriority w:val="0"/>
    <w:rPr>
      <w:rFonts w:hint="eastAsia" w:ascii="宋体" w:hAnsi="宋体" w:eastAsia="宋体" w:cs="宋体"/>
      <w:color w:val="000000"/>
      <w:sz w:val="20"/>
      <w:szCs w:val="20"/>
      <w:u w:val="none"/>
    </w:rPr>
  </w:style>
  <w:style w:type="character" w:customStyle="1" w:styleId="12">
    <w:name w:val="font3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2022</Words>
  <Characters>2410</Characters>
  <Lines>6</Lines>
  <Paragraphs>1</Paragraphs>
  <TotalTime>8</TotalTime>
  <ScaleCrop>false</ScaleCrop>
  <LinksUpToDate>false</LinksUpToDate>
  <CharactersWithSpaces>2529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WPS_1637669985</cp:lastModifiedBy>
  <cp:lastPrinted>2018-05-24T01:44:00Z</cp:lastPrinted>
  <dcterms:modified xsi:type="dcterms:W3CDTF">2022-06-20T08:20:18Z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908CDAEE7253477888C3DE68A900001C</vt:lpwstr>
  </property>
</Properties>
</file>